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  <w:t>- Anexa nr. 1B</w:t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 pentru persoane fizice -</w:t>
      </w:r>
    </w:p>
    <w:tbl>
      <w:tblPr>
        <w:tblW w:w="108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99"/>
        <w:gridCol w:w="5401"/>
      </w:tblGrid>
      <w:tr>
        <w:trPr/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Județul /Localitatea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Nr. unic de înregistrare al ofertei de vânzare din registrul de evidențâ</w:t>
            </w:r>
          </w:p>
        </w:tc>
      </w:tr>
      <w:tr>
        <w:trPr/>
        <w:tc>
          <w:tcPr>
            <w:tcW w:w="53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Primăria</w:t>
            </w:r>
          </w:p>
        </w:tc>
        <w:tc>
          <w:tcPr>
            <w:tcW w:w="5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</w:r>
          </w:p>
        </w:tc>
      </w:tr>
      <w:tr>
        <w:trPr/>
        <w:tc>
          <w:tcPr>
            <w:tcW w:w="53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 xml:space="preserve">Numele și prenumele funcționarului primăriei care primește cererea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</w:r>
          </w:p>
        </w:tc>
        <w:tc>
          <w:tcPr>
            <w:tcW w:w="5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Semnătura funcționarului care primește oferta de vânzare</w:t>
            </w:r>
          </w:p>
        </w:tc>
      </w:tr>
    </w:tbl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OFERTĂ DE VÂNZARE TEREN</w:t>
      </w:r>
    </w:p>
    <w:p>
      <w:pPr>
        <w:pStyle w:val="Normal"/>
        <w:spacing w:before="28" w:after="2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Subsemnatul/Subsemnata^</w:t>
      </w:r>
      <w:r>
        <w:rPr>
          <w:rFonts w:cs="Times New Roman" w:ascii="Times New Roman" w:hAnsi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 vând teren agricol situat în extravilan, în suprafaţă de ............. (ha), la preţul de (*) .................................................................................. (lei)</w:t>
      </w:r>
    </w:p>
    <w:p>
      <w:pPr>
        <w:pStyle w:val="Normal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Condiţiile de vânzare^2) sunt următoarele: ...................................................................................................</w:t>
      </w:r>
    </w:p>
    <w:p>
      <w:pPr>
        <w:pStyle w:val="Normal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privind identificarea terenului</w:t>
      </w:r>
    </w:p>
    <w:tbl>
      <w:tblPr>
        <w:tblW w:w="10816" w:type="dxa"/>
        <w:jc w:val="left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</w:tblPr>
      <w:tblGrid>
        <w:gridCol w:w="1711"/>
        <w:gridCol w:w="1802"/>
        <w:gridCol w:w="1199"/>
        <w:gridCol w:w="1102"/>
        <w:gridCol w:w="1312"/>
        <w:gridCol w:w="1109"/>
        <w:gridCol w:w="1110"/>
        <w:gridCol w:w="1471"/>
      </w:tblGrid>
      <w:tr>
        <w:trPr/>
        <w:tc>
          <w:tcPr>
            <w:tcW w:w="17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763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4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Categoria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de folosinţă^3)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</w:tr>
      <w:tr>
        <w:trPr/>
        <w:tc>
          <w:tcPr>
            <w:tcW w:w="17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Oraşul/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Comuna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/Judeţul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Suprafaţa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(ha)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cadastral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Număr tarla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/lot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parcelă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47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par"/>
        <w:rPr/>
      </w:pPr>
      <w:r>
        <w:rPr>
          <w:rFonts w:cs="Times New Roman" w:ascii="Times New Roman" w:hAnsi="Times New Roman"/>
        </w:rPr>
        <w:t xml:space="preserve">Cunoscând că falsul în declaraţii se pedepseşte </w:t>
      </w:r>
      <w:r>
        <w:rPr>
          <w:rFonts w:cs="Times New Roman" w:ascii="Times New Roman" w:hAnsi="Times New Roman"/>
          <w:color w:val="000000"/>
          <w:lang w:eastAsia="ro-RO"/>
        </w:rPr>
        <w:t xml:space="preserve">conform </w:t>
      </w:r>
      <w:bookmarkStart w:id="0" w:name="REF29"/>
      <w:bookmarkEnd w:id="0"/>
      <w:r>
        <w:rPr>
          <w:rFonts w:cs="Times New Roman" w:ascii="Times New Roman" w:hAnsi="Times New Roman"/>
          <w:color w:val="000000"/>
          <w:lang w:eastAsia="ro-RO"/>
        </w:rPr>
        <w:t>Legii nr. 286/2009</w:t>
      </w:r>
      <w:r>
        <w:rPr/>
        <w:t>,</w:t>
      </w:r>
      <w:r>
        <w:rPr>
          <w:rFonts w:cs="Times New Roman" w:ascii="Times New Roman" w:hAnsi="Times New Roman"/>
        </w:rPr>
        <w:t xml:space="preserve"> cu modificările şi completările ulterioare, declar că datele sunt reale, corecte şi complete.</w:t>
      </w:r>
    </w:p>
    <w:p>
      <w:pPr>
        <w:pStyle w:val="Spar"/>
        <w:rPr/>
      </w:pPr>
      <w:r>
        <w:rPr/>
      </w:r>
    </w:p>
    <w:p>
      <w:pPr>
        <w:pStyle w:val="Spa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Vânzător/Împuternicit,</w:t>
      </w:r>
    </w:p>
    <w:p>
      <w:pPr>
        <w:pStyle w:val="Spar"/>
        <w:rPr/>
      </w:pPr>
      <w:r>
        <w:rPr/>
        <w:t>.......................................................</w:t>
      </w:r>
    </w:p>
    <w:p>
      <w:pPr>
        <w:pStyle w:val="Spa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(numele şi prenumele în clar)</w:t>
      </w:r>
    </w:p>
    <w:p>
      <w:pPr>
        <w:pStyle w:val="Spar"/>
        <w:rPr/>
      </w:pPr>
      <w:r>
        <w:rPr/>
      </w:r>
    </w:p>
    <w:p>
      <w:pPr>
        <w:pStyle w:val="Spa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Semnătura</w:t>
      </w:r>
    </w:p>
    <w:p>
      <w:pPr>
        <w:pStyle w:val="Spar"/>
        <w:rPr/>
      </w:pPr>
      <w:r>
        <w:rPr/>
        <w:t>.......................................................</w:t>
      </w:r>
    </w:p>
    <w:p>
      <w:pPr>
        <w:pStyle w:val="Spar"/>
        <w:rPr/>
      </w:pPr>
      <w:r>
        <w:rPr/>
        <w:t>L.S.</w:t>
      </w:r>
    </w:p>
    <w:p>
      <w:pPr>
        <w:pStyle w:val="Spar"/>
        <w:rPr/>
      </w:pPr>
      <w:r>
        <w:rPr/>
      </w:r>
    </w:p>
    <w:p>
      <w:pPr>
        <w:pStyle w:val="Spar"/>
        <w:rPr/>
      </w:pPr>
      <w:r>
        <w:rPr/>
        <w:t>Data ...............................................</w:t>
      </w:r>
    </w:p>
    <w:p>
      <w:pPr>
        <w:pStyle w:val="Spar"/>
        <w:rPr>
          <w:sz w:val="20"/>
          <w:szCs w:val="20"/>
        </w:rPr>
      </w:pPr>
      <w:r>
        <w:rPr>
          <w:sz w:val="20"/>
          <w:szCs w:val="20"/>
        </w:rPr>
        <w:t>NOTE: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8B0000"/>
          <w:sz w:val="20"/>
          <w:szCs w:val="20"/>
        </w:rPr>
        <w:t>– </w:t>
      </w:r>
      <w:r>
        <w:rPr>
          <w:rStyle w:val="Slinbdy"/>
          <w:rFonts w:cs="Times New Roman" w:ascii="Times New Roman" w:hAnsi="Times New Roman"/>
          <w:sz w:val="20"/>
          <w:szCs w:val="20"/>
        </w:rPr>
        <w:t>Câmpurile notate cu (*) sunt obligatoriu de completat.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8B0000"/>
          <w:sz w:val="20"/>
          <w:szCs w:val="20"/>
        </w:rPr>
        <w:t>– </w:t>
      </w:r>
      <w:r>
        <w:rPr>
          <w:rStyle w:val="Slinbdy"/>
          <w:rFonts w:cs="Times New Roman" w:ascii="Times New Roman" w:hAnsi="Times New Roman"/>
          <w:sz w:val="20"/>
          <w:szCs w:val="20"/>
        </w:rPr>
        <w:t>Câmpurile notate cu (**) se completează în cazul în care sunt cunoscute informaţiile.</w:t>
      </w:r>
    </w:p>
    <w:p>
      <w:pPr>
        <w:pStyle w:val="Spa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^1) Se completează numele şi prenumele proprietarului terenului.</w:t>
      </w:r>
    </w:p>
    <w:p>
      <w:pPr>
        <w:pStyle w:val="Spa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^2) Se va completa în cifre şi litere.</w:t>
      </w:r>
    </w:p>
    <w:p>
      <w:pPr>
        <w:pStyle w:val="Spar"/>
        <w:rPr/>
      </w:pPr>
      <w:r>
        <w:rPr>
          <w:rFonts w:cs="Times New Roman" w:ascii="Times New Roman" w:hAnsi="Times New Roman"/>
          <w:sz w:val="20"/>
          <w:szCs w:val="20"/>
        </w:rPr>
        <w:t xml:space="preserve">^3) Se completează categoria de folosinţă a terenurilor agricole situate în extravilan conform </w:t>
      </w:r>
      <w:r>
        <w:rPr>
          <w:rFonts w:cs="Times New Roman" w:ascii="Times New Roman" w:hAnsi="Times New Roman"/>
          <w:color w:val="000000"/>
          <w:lang w:eastAsia="ro-RO"/>
        </w:rPr>
        <w:t xml:space="preserve"> Legii nr. 286/2009</w:t>
      </w:r>
      <w:r>
        <w:rPr>
          <w:rFonts w:cs="Times New Roman" w:ascii="Times New Roman" w:hAnsi="Times New Roman"/>
          <w:sz w:val="20"/>
          <w:szCs w:val="20"/>
        </w:rPr>
        <w:t>, cu modificările şi completările ulterioare.</w:t>
      </w:r>
    </w:p>
    <w:p>
      <w:pPr>
        <w:pStyle w:val="Spa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^4) Se completează cu „X“ rubricile în care informaţiile pot fi comparate cu datele din Registrul agricol, evidenţele fiscale, evidenţele de stare civilă, altele asemenea.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c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Verdana" w:hAnsi="Verdana" w:eastAsia="Times New Roman" w:cs="Verdana"/>
      <w:color w:val="00000A"/>
      <w:sz w:val="18"/>
      <w:szCs w:val="18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character" w:styleId="Sden1">
    <w:name w:val="s_den1"/>
    <w:basedOn w:val="DefaultParagraphFont"/>
    <w:qFormat/>
    <w:rPr>
      <w:rFonts w:ascii="Verdana" w:hAnsi="Verdana" w:cs="Verdana"/>
      <w:b/>
      <w:bCs/>
      <w:color w:val="8B0000"/>
      <w:sz w:val="30"/>
      <w:szCs w:val="30"/>
    </w:rPr>
  </w:style>
  <w:style w:type="character" w:styleId="Shdr1">
    <w:name w:val="s_hdr1"/>
    <w:basedOn w:val="DefaultParagraphFont"/>
    <w:qFormat/>
    <w:rPr>
      <w:rFonts w:ascii="Verdana" w:hAnsi="Verdana" w:cs="Verdana"/>
      <w:b/>
      <w:bCs/>
      <w:color w:val="333333"/>
      <w:sz w:val="20"/>
      <w:szCs w:val="20"/>
    </w:rPr>
  </w:style>
  <w:style w:type="character" w:styleId="Spar4">
    <w:name w:val="s_par4"/>
    <w:basedOn w:val="DefaultParagraphFont"/>
    <w:qFormat/>
    <w:rPr>
      <w:rFonts w:ascii="Verdana" w:hAnsi="Verdana" w:cs="Verdana"/>
      <w:color w:val="000000"/>
      <w:sz w:val="20"/>
      <w:szCs w:val="20"/>
    </w:rPr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emtttl1">
    <w:name w:val="s_emt_ttl1"/>
    <w:basedOn w:val="DefaultParagraphFont"/>
    <w:qFormat/>
    <w:rPr>
      <w:rFonts w:ascii="Arial" w:hAnsi="Arial" w:cs="Arial"/>
      <w:b/>
      <w:bCs/>
      <w:color w:val="000000"/>
      <w:sz w:val="21"/>
      <w:szCs w:val="21"/>
    </w:rPr>
  </w:style>
  <w:style w:type="character" w:styleId="Semtbdy1">
    <w:name w:val="s_emt_bdy1"/>
    <w:basedOn w:val="DefaultParagraphFont"/>
    <w:qFormat/>
    <w:rPr>
      <w:rFonts w:ascii="Verdana" w:hAnsi="Verdana" w:cs="Verdana"/>
      <w:b/>
      <w:bCs/>
      <w:color w:val="006400"/>
      <w:sz w:val="18"/>
      <w:szCs w:val="18"/>
    </w:rPr>
  </w:style>
  <w:style w:type="character" w:styleId="Spub1">
    <w:name w:val="s_pub1"/>
    <w:basedOn w:val="DefaultParagraphFont"/>
    <w:qFormat/>
    <w:rPr>
      <w:rFonts w:ascii="Arial" w:hAnsi="Arial" w:cs="Arial"/>
      <w:b/>
      <w:bCs/>
      <w:color w:val="000000"/>
      <w:sz w:val="21"/>
      <w:szCs w:val="21"/>
    </w:rPr>
  </w:style>
  <w:style w:type="character" w:styleId="Spubttl">
    <w:name w:val="s_pub_ttl"/>
    <w:basedOn w:val="DefaultParagraphFont"/>
    <w:qFormat/>
    <w:rPr>
      <w:rFonts w:ascii="Verdana" w:hAnsi="Verdana" w:cs="Verdana"/>
      <w:color w:val="000000"/>
      <w:sz w:val="20"/>
      <w:szCs w:val="20"/>
    </w:rPr>
  </w:style>
  <w:style w:type="character" w:styleId="Spubbdy1">
    <w:name w:val="s_pub_bdy1"/>
    <w:basedOn w:val="DefaultParagraphFont"/>
    <w:qFormat/>
    <w:rPr>
      <w:rFonts w:ascii="Verdana" w:hAnsi="Verdana" w:cs="Verdana"/>
      <w:b/>
      <w:bCs/>
      <w:color w:val="24689B"/>
      <w:sz w:val="21"/>
      <w:szCs w:val="21"/>
    </w:rPr>
  </w:style>
  <w:style w:type="character" w:styleId="Spctbdy">
    <w:name w:val="s_pct_bdy"/>
    <w:basedOn w:val="DefaultParagraphFont"/>
    <w:qFormat/>
    <w:rPr/>
  </w:style>
  <w:style w:type="character" w:styleId="Slinbdy">
    <w:name w:val="s_lin_bdy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Verdana" w:hAnsi="Verdana" w:cs="Verdana"/>
      <w:sz w:val="16"/>
      <w:szCs w:val="16"/>
    </w:rPr>
  </w:style>
  <w:style w:type="character" w:styleId="FooterChar">
    <w:name w:val="Footer Char"/>
    <w:basedOn w:val="DefaultParagraphFont"/>
    <w:qFormat/>
    <w:rPr>
      <w:rFonts w:ascii="Verdana" w:hAnsi="Verdana" w:cs="Verdan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numPr>
        <w:ilvl w:val="0"/>
        <w:numId w:val="0"/>
      </w:numPr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Text Body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List">
    <w:name w:val="List"/>
    <w:basedOn w:val="TextBody"/>
    <w:pPr>
      <w:numPr>
        <w:ilvl w:val="0"/>
        <w:numId w:val="0"/>
      </w:numPr>
    </w:pPr>
    <w:rPr>
      <w:rFonts w:cs="Noto Sans Devanagari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Noto Sans Devanagari"/>
    </w:rPr>
  </w:style>
  <w:style w:type="paragraph" w:styleId="Small">
    <w:name w:val="smal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Verdana" w:hAnsi="Verdana" w:eastAsia="Times New Roman" w:cs="Verdana"/>
      <w:color w:val="00000A"/>
      <w:sz w:val="2"/>
      <w:szCs w:val="2"/>
      <w:lang w:val="en-US" w:eastAsia="en-US" w:bidi="ar-SA"/>
    </w:rPr>
  </w:style>
  <w:style w:type="paragraph" w:styleId="Tagcollapsed">
    <w:name w:val="tag_collapsed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  <w:ind w:left="0" w:right="72" w:hanging="0"/>
    </w:pPr>
    <w:rPr>
      <w:rFonts w:ascii="Arial" w:hAnsi="Arial" w:cs="Arial"/>
      <w:vanish/>
    </w:rPr>
  </w:style>
  <w:style w:type="paragraph" w:styleId="Semt">
    <w:name w:val="s_emt"/>
    <w:basedOn w:val="Normal"/>
    <w:qFormat/>
    <w:pPr>
      <w:numPr>
        <w:ilvl w:val="0"/>
        <w:numId w:val="0"/>
      </w:numPr>
      <w:spacing w:before="28" w:after="28"/>
      <w:ind w:left="144" w:right="0" w:hanging="0"/>
    </w:pPr>
    <w:rPr>
      <w:sz w:val="24"/>
      <w:szCs w:val="24"/>
    </w:rPr>
  </w:style>
  <w:style w:type="paragraph" w:styleId="Spar">
    <w:name w:val="s_par"/>
    <w:basedOn w:val="Normal"/>
    <w:qFormat/>
    <w:pPr>
      <w:numPr>
        <w:ilvl w:val="0"/>
        <w:numId w:val="0"/>
      </w:numPr>
      <w:ind w:left="225" w:right="0" w:hanging="0"/>
    </w:pPr>
    <w:rPr>
      <w:sz w:val="24"/>
      <w:szCs w:val="24"/>
    </w:rPr>
  </w:style>
  <w:style w:type="paragraph" w:styleId="Sntashort">
    <w:name w:val="s_nta_short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vanish/>
      <w:sz w:val="24"/>
      <w:szCs w:val="24"/>
    </w:rPr>
  </w:style>
  <w:style w:type="paragraph" w:styleId="Snccshort">
    <w:name w:val="s_ncc_short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vanish/>
      <w:sz w:val="24"/>
      <w:szCs w:val="24"/>
    </w:rPr>
  </w:style>
  <w:style w:type="paragraph" w:styleId="Slit">
    <w:name w:val="s_li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1" w:color="FEFEFE"/>
        <w:bottom w:val="single" w:sz="8" w:space="0" w:color="FEFEFE"/>
        <w:right w:val="single" w:sz="8" w:space="0" w:color="FEFEFE"/>
      </w:pBdr>
      <w:ind w:left="225" w:right="0" w:hanging="0"/>
    </w:pPr>
    <w:rPr>
      <w:sz w:val="24"/>
      <w:szCs w:val="24"/>
    </w:rPr>
  </w:style>
  <w:style w:type="paragraph" w:styleId="Slitshort">
    <w:name w:val="s_lit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aln">
    <w:name w:val="s_al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1" w:color="FEFEFE"/>
        <w:bottom w:val="single" w:sz="8" w:space="0" w:color="FEFEFE"/>
        <w:right w:val="single" w:sz="8" w:space="0" w:color="FEFEFE"/>
      </w:pBdr>
      <w:ind w:left="225" w:right="0" w:hanging="0"/>
    </w:pPr>
    <w:rPr>
      <w:sz w:val="24"/>
      <w:szCs w:val="24"/>
    </w:rPr>
  </w:style>
  <w:style w:type="paragraph" w:styleId="Salnshort">
    <w:name w:val="s_aln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lin">
    <w:name w:val="s_li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28" w:after="28"/>
    </w:pPr>
    <w:rPr>
      <w:sz w:val="24"/>
      <w:szCs w:val="24"/>
    </w:rPr>
  </w:style>
  <w:style w:type="paragraph" w:styleId="Slinshort">
    <w:name w:val="s_lin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pct">
    <w:name w:val="s_pc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9" w:color="FEFEFE"/>
        <w:bottom w:val="single" w:sz="8" w:space="0" w:color="FEFEFE"/>
        <w:right w:val="single" w:sz="8" w:space="0" w:color="FEFEFE"/>
      </w:pBdr>
      <w:spacing w:before="28" w:after="28"/>
    </w:pPr>
    <w:rPr>
      <w:sz w:val="24"/>
      <w:szCs w:val="24"/>
    </w:rPr>
  </w:style>
  <w:style w:type="paragraph" w:styleId="Spctshort">
    <w:name w:val="s_pct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Aelementcenter">
    <w:name w:val="a_element_center"/>
    <w:basedOn w:val="Normal"/>
    <w:qFormat/>
    <w:pPr>
      <w:numPr>
        <w:ilvl w:val="0"/>
        <w:numId w:val="0"/>
      </w:numPr>
      <w:spacing w:before="144" w:after="144"/>
      <w:jc w:val="center"/>
    </w:pPr>
    <w:rPr>
      <w:sz w:val="24"/>
      <w:szCs w:val="24"/>
    </w:rPr>
  </w:style>
  <w:style w:type="paragraph" w:styleId="Aelementright">
    <w:name w:val="a_element_right"/>
    <w:basedOn w:val="Normal"/>
    <w:qFormat/>
    <w:pPr>
      <w:numPr>
        <w:ilvl w:val="0"/>
        <w:numId w:val="0"/>
      </w:numPr>
      <w:spacing w:before="144" w:after="144"/>
      <w:jc w:val="right"/>
    </w:pPr>
    <w:rPr>
      <w:sz w:val="24"/>
      <w:szCs w:val="24"/>
    </w:rPr>
  </w:style>
  <w:style w:type="paragraph" w:styleId="Aelementleft">
    <w:name w:val="a_element_left"/>
    <w:basedOn w:val="Normal"/>
    <w:qFormat/>
    <w:pPr>
      <w:numPr>
        <w:ilvl w:val="0"/>
        <w:numId w:val="0"/>
      </w:numPr>
      <w:spacing w:before="144" w:after="144"/>
    </w:pPr>
    <w:rPr>
      <w:sz w:val="24"/>
      <w:szCs w:val="24"/>
    </w:rPr>
  </w:style>
  <w:style w:type="paragraph" w:styleId="Snta">
    <w:name w:val="s_nta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288" w:right="72" w:hanging="0"/>
    </w:pPr>
    <w:rPr>
      <w:sz w:val="24"/>
      <w:szCs w:val="24"/>
    </w:rPr>
  </w:style>
  <w:style w:type="paragraph" w:styleId="Sncc">
    <w:name w:val="s_nc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288" w:right="72" w:hanging="0"/>
    </w:pPr>
    <w:rPr>
      <w:sz w:val="24"/>
      <w:szCs w:val="24"/>
    </w:rPr>
  </w:style>
  <w:style w:type="paragraph" w:styleId="Sart">
    <w:name w:val="s_a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or">
    <w:name w:val="s_por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blc">
    <w:name w:val="s_bl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anx">
    <w:name w:val="s_anx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apn">
    <w:name w:val="s_ap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crt">
    <w:name w:val="s_c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rt">
    <w:name w:val="s_p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ttl">
    <w:name w:val="s_ttl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cap">
    <w:name w:val="s_cap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sbc">
    <w:name w:val="s_sb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sec">
    <w:name w:val="s_se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rg">
    <w:name w:val="s_prg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den">
    <w:name w:val="s_den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30"/>
      <w:szCs w:val="30"/>
    </w:rPr>
  </w:style>
  <w:style w:type="paragraph" w:styleId="Shdr">
    <w:name w:val="s_hdr"/>
    <w:basedOn w:val="Normal"/>
    <w:qFormat/>
    <w:pPr>
      <w:numPr>
        <w:ilvl w:val="0"/>
        <w:numId w:val="0"/>
      </w:numPr>
      <w:spacing w:before="72" w:after="72"/>
      <w:ind w:left="72" w:right="72" w:hanging="0"/>
    </w:pPr>
    <w:rPr>
      <w:b/>
      <w:bCs/>
      <w:color w:val="333333"/>
      <w:sz w:val="20"/>
      <w:szCs w:val="20"/>
    </w:rPr>
  </w:style>
  <w:style w:type="paragraph" w:styleId="Semtttl">
    <w:name w:val="s_emt_ttl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b/>
      <w:bCs/>
      <w:color w:val="000000"/>
      <w:sz w:val="21"/>
      <w:szCs w:val="21"/>
    </w:rPr>
  </w:style>
  <w:style w:type="paragraph" w:styleId="Semtbdy">
    <w:name w:val="s_emt_bdy"/>
    <w:basedOn w:val="Normal"/>
    <w:qFormat/>
    <w:pPr>
      <w:numPr>
        <w:ilvl w:val="0"/>
        <w:numId w:val="0"/>
      </w:numPr>
      <w:spacing w:before="28" w:after="28"/>
    </w:pPr>
    <w:rPr>
      <w:b/>
      <w:bCs/>
      <w:color w:val="006400"/>
    </w:rPr>
  </w:style>
  <w:style w:type="paragraph" w:styleId="Spub">
    <w:name w:val="s_pub"/>
    <w:basedOn w:val="Normal"/>
    <w:qFormat/>
    <w:pPr>
      <w:numPr>
        <w:ilvl w:val="0"/>
        <w:numId w:val="0"/>
      </w:numPr>
      <w:spacing w:before="144" w:after="144"/>
      <w:ind w:left="144" w:right="144" w:hanging="0"/>
    </w:pPr>
    <w:rPr>
      <w:rFonts w:ascii="Arial" w:hAnsi="Arial" w:cs="Arial"/>
      <w:b/>
      <w:bCs/>
      <w:color w:val="000000"/>
      <w:sz w:val="21"/>
      <w:szCs w:val="21"/>
    </w:rPr>
  </w:style>
  <w:style w:type="paragraph" w:styleId="Spubbdy">
    <w:name w:val="s_pub_bdy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1"/>
      <w:szCs w:val="21"/>
    </w:rPr>
  </w:style>
  <w:style w:type="paragraph" w:styleId="Sntapar">
    <w:name w:val="s_nta_par"/>
    <w:basedOn w:val="Normal"/>
    <w:qFormat/>
    <w:pPr>
      <w:numPr>
        <w:ilvl w:val="0"/>
        <w:numId w:val="0"/>
      </w:numPr>
      <w:spacing w:before="28" w:after="28"/>
    </w:pPr>
    <w:rPr>
      <w:color w:val="000000"/>
      <w:sz w:val="17"/>
      <w:szCs w:val="17"/>
    </w:rPr>
  </w:style>
  <w:style w:type="paragraph" w:styleId="Snccpar">
    <w:name w:val="s_ncc_par"/>
    <w:basedOn w:val="Normal"/>
    <w:qFormat/>
    <w:pPr>
      <w:numPr>
        <w:ilvl w:val="0"/>
        <w:numId w:val="0"/>
      </w:numPr>
      <w:spacing w:before="28" w:after="28"/>
    </w:pPr>
    <w:rPr>
      <w:color w:val="808080"/>
      <w:sz w:val="17"/>
      <w:szCs w:val="17"/>
    </w:rPr>
  </w:style>
  <w:style w:type="paragraph" w:styleId="Ssmnpar">
    <w:name w:val="s_smn_par"/>
    <w:basedOn w:val="Normal"/>
    <w:qFormat/>
    <w:pPr>
      <w:numPr>
        <w:ilvl w:val="0"/>
        <w:numId w:val="0"/>
      </w:numPr>
      <w:spacing w:before="28" w:after="28"/>
      <w:jc w:val="center"/>
    </w:pPr>
    <w:rPr>
      <w:b/>
      <w:bCs/>
      <w:color w:val="24689B"/>
      <w:sz w:val="17"/>
      <w:szCs w:val="17"/>
    </w:rPr>
  </w:style>
  <w:style w:type="paragraph" w:styleId="Ssmn">
    <w:name w:val="s_smn"/>
    <w:basedOn w:val="Normal"/>
    <w:qFormat/>
    <w:pPr>
      <w:numPr>
        <w:ilvl w:val="0"/>
        <w:numId w:val="0"/>
      </w:numPr>
      <w:spacing w:before="28" w:after="28"/>
      <w:jc w:val="center"/>
    </w:pPr>
    <w:rPr>
      <w:sz w:val="24"/>
      <w:szCs w:val="24"/>
    </w:rPr>
  </w:style>
  <w:style w:type="paragraph" w:styleId="Sntattl">
    <w:name w:val="s_nta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0"/>
      <w:szCs w:val="20"/>
    </w:rPr>
  </w:style>
  <w:style w:type="paragraph" w:styleId="Snccttl">
    <w:name w:val="s_ncc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0"/>
      <w:szCs w:val="20"/>
    </w:rPr>
  </w:style>
  <w:style w:type="paragraph" w:styleId="Scit">
    <w:name w:val="s_cit"/>
    <w:basedOn w:val="Normal"/>
    <w:qFormat/>
    <w:pPr>
      <w:numPr>
        <w:ilvl w:val="0"/>
        <w:numId w:val="0"/>
      </w:numPr>
      <w:shd w:fill="FFFF00" w:val="clear"/>
      <w:spacing w:before="144" w:after="144"/>
      <w:ind w:left="144" w:right="144" w:hanging="0"/>
    </w:pPr>
    <w:rPr>
      <w:sz w:val="17"/>
      <w:szCs w:val="17"/>
    </w:rPr>
  </w:style>
  <w:style w:type="paragraph" w:styleId="Sartttl">
    <w:name w:val="s_art_ttl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artden">
    <w:name w:val="s_art_den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porttl">
    <w:name w:val="s_por_ttl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porden">
    <w:name w:val="s_por_den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blcttl">
    <w:name w:val="s_blc_ttl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refttl">
    <w:name w:val="s_ref_ttl"/>
    <w:basedOn w:val="Normal"/>
    <w:qFormat/>
    <w:pPr>
      <w:numPr>
        <w:ilvl w:val="0"/>
        <w:numId w:val="0"/>
      </w:numPr>
      <w:spacing w:before="28" w:after="28"/>
    </w:pPr>
    <w:rPr>
      <w:rFonts w:ascii="verdcana" w:hAnsi="verdcana" w:cs="verdcana"/>
      <w:b/>
      <w:bCs/>
      <w:color w:val="24689B"/>
      <w:sz w:val="20"/>
      <w:szCs w:val="20"/>
    </w:rPr>
  </w:style>
  <w:style w:type="paragraph" w:styleId="Sanxttl">
    <w:name w:val="s_anx_ttl"/>
    <w:basedOn w:val="Normal"/>
    <w:qFormat/>
    <w:pPr>
      <w:numPr>
        <w:ilvl w:val="0"/>
        <w:numId w:val="0"/>
      </w:numPr>
      <w:jc w:val="center"/>
    </w:pPr>
    <w:rPr>
      <w:b/>
      <w:bCs/>
      <w:color w:val="24689B"/>
      <w:sz w:val="20"/>
      <w:szCs w:val="20"/>
    </w:rPr>
  </w:style>
  <w:style w:type="paragraph" w:styleId="Sanxden">
    <w:name w:val="s_anx_den"/>
    <w:basedOn w:val="Normal"/>
    <w:qFormat/>
    <w:pPr>
      <w:numPr>
        <w:ilvl w:val="0"/>
        <w:numId w:val="0"/>
      </w:numPr>
      <w:jc w:val="center"/>
    </w:pPr>
    <w:rPr>
      <w:b/>
      <w:bCs/>
      <w:color w:val="24689B"/>
      <w:sz w:val="20"/>
      <w:szCs w:val="20"/>
    </w:rPr>
  </w:style>
  <w:style w:type="paragraph" w:styleId="Sapnttl">
    <w:name w:val="s_apn_ttl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apnden">
    <w:name w:val="s_apn_den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crtttl">
    <w:name w:val="s_crt_ttl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crtden">
    <w:name w:val="s_crt_den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prtttl">
    <w:name w:val="s_prt_ttl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prtden">
    <w:name w:val="s_prt_den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litttl">
    <w:name w:val="s_lit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alnttl">
    <w:name w:val="s_aln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linttl">
    <w:name w:val="s_lin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1"/>
      <w:szCs w:val="21"/>
    </w:rPr>
  </w:style>
  <w:style w:type="paragraph" w:styleId="Spctttl">
    <w:name w:val="s_pct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ttlttl">
    <w:name w:val="s_ttl_ttl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26"/>
      <w:szCs w:val="26"/>
    </w:rPr>
  </w:style>
  <w:style w:type="paragraph" w:styleId="Sttlden">
    <w:name w:val="s_ttl_den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26"/>
      <w:szCs w:val="26"/>
    </w:rPr>
  </w:style>
  <w:style w:type="paragraph" w:styleId="Scapttl">
    <w:name w:val="s_cap_ttl"/>
    <w:basedOn w:val="Normal"/>
    <w:qFormat/>
    <w:pPr>
      <w:numPr>
        <w:ilvl w:val="0"/>
        <w:numId w:val="0"/>
      </w:numPr>
      <w:jc w:val="center"/>
    </w:pPr>
    <w:rPr>
      <w:b/>
      <w:bCs/>
      <w:color w:val="A52A2A"/>
      <w:sz w:val="24"/>
      <w:szCs w:val="24"/>
    </w:rPr>
  </w:style>
  <w:style w:type="paragraph" w:styleId="Scapden">
    <w:name w:val="s_cap_den"/>
    <w:basedOn w:val="Normal"/>
    <w:qFormat/>
    <w:pPr>
      <w:numPr>
        <w:ilvl w:val="0"/>
        <w:numId w:val="0"/>
      </w:numPr>
      <w:jc w:val="center"/>
    </w:pPr>
    <w:rPr>
      <w:b/>
      <w:bCs/>
      <w:color w:val="A52A2A"/>
      <w:sz w:val="24"/>
      <w:szCs w:val="24"/>
    </w:rPr>
  </w:style>
  <w:style w:type="paragraph" w:styleId="Ssbcttl">
    <w:name w:val="s_sbc_ttl"/>
    <w:basedOn w:val="Normal"/>
    <w:qFormat/>
    <w:pPr>
      <w:numPr>
        <w:ilvl w:val="0"/>
        <w:numId w:val="0"/>
      </w:numPr>
    </w:pPr>
    <w:rPr>
      <w:b/>
      <w:bCs/>
      <w:color w:val="000000"/>
      <w:sz w:val="23"/>
      <w:szCs w:val="23"/>
    </w:rPr>
  </w:style>
  <w:style w:type="paragraph" w:styleId="Ssbcden">
    <w:name w:val="s_sbc_den"/>
    <w:basedOn w:val="Normal"/>
    <w:qFormat/>
    <w:pPr>
      <w:numPr>
        <w:ilvl w:val="0"/>
        <w:numId w:val="0"/>
      </w:numPr>
    </w:pPr>
    <w:rPr>
      <w:b/>
      <w:bCs/>
      <w:color w:val="000000"/>
      <w:sz w:val="23"/>
      <w:szCs w:val="23"/>
    </w:rPr>
  </w:style>
  <w:style w:type="paragraph" w:styleId="Ssecttl">
    <w:name w:val="s_sec_ttl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3"/>
      <w:szCs w:val="23"/>
    </w:rPr>
  </w:style>
  <w:style w:type="paragraph" w:styleId="Ssecden">
    <w:name w:val="s_sec_den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3"/>
      <w:szCs w:val="23"/>
    </w:rPr>
  </w:style>
  <w:style w:type="paragraph" w:styleId="Sprgttl">
    <w:name w:val="s_prg_ttl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1"/>
      <w:szCs w:val="21"/>
    </w:rPr>
  </w:style>
  <w:style w:type="paragraph" w:styleId="Sprgden">
    <w:name w:val="s_prg_den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1"/>
      <w:szCs w:val="21"/>
    </w:rPr>
  </w:style>
  <w:style w:type="paragraph" w:styleId="Smrc">
    <w:name w:val="s_mrc"/>
    <w:basedOn w:val="Normal"/>
    <w:qFormat/>
    <w:pPr>
      <w:numPr>
        <w:ilvl w:val="0"/>
        <w:numId w:val="0"/>
      </w:numPr>
      <w:shd w:fill="F0FFFF" w:val="clear"/>
      <w:spacing w:before="28" w:after="28"/>
    </w:pPr>
    <w:rPr>
      <w:sz w:val="24"/>
      <w:szCs w:val="24"/>
    </w:rPr>
  </w:style>
  <w:style w:type="paragraph" w:styleId="Slgd">
    <w:name w:val="s_lgd"/>
    <w:basedOn w:val="Normal"/>
    <w:qFormat/>
    <w:pPr>
      <w:numPr>
        <w:ilvl w:val="0"/>
        <w:numId w:val="0"/>
      </w:numPr>
      <w:spacing w:before="28" w:after="28"/>
    </w:pPr>
    <w:rPr>
      <w:color w:val="24689B"/>
      <w:sz w:val="24"/>
      <w:szCs w:val="24"/>
      <w:u w:val="single"/>
    </w:rPr>
  </w:style>
  <w:style w:type="paragraph" w:styleId="Slge">
    <w:name w:val="s_lge"/>
    <w:basedOn w:val="Normal"/>
    <w:qFormat/>
    <w:pPr>
      <w:numPr>
        <w:ilvl w:val="0"/>
        <w:numId w:val="0"/>
      </w:numPr>
      <w:spacing w:before="28" w:after="28"/>
    </w:pPr>
    <w:rPr>
      <w:color w:val="24689B"/>
      <w:sz w:val="24"/>
      <w:szCs w:val="24"/>
      <w:u w:val="single"/>
    </w:rPr>
  </w:style>
  <w:style w:type="paragraph" w:styleId="Slgi">
    <w:name w:val="s_lgi"/>
    <w:basedOn w:val="Normal"/>
    <w:qFormat/>
    <w:pPr>
      <w:numPr>
        <w:ilvl w:val="0"/>
        <w:numId w:val="0"/>
      </w:numPr>
      <w:spacing w:before="28" w:after="28"/>
    </w:pPr>
    <w:rPr>
      <w:color w:val="006400"/>
      <w:sz w:val="24"/>
      <w:szCs w:val="24"/>
      <w:u w:val="single"/>
    </w:rPr>
  </w:style>
  <w:style w:type="paragraph" w:styleId="Spantxtcolorat">
    <w:name w:val="spantxtcolorat"/>
    <w:basedOn w:val="Normal"/>
    <w:qFormat/>
    <w:pPr>
      <w:numPr>
        <w:ilvl w:val="0"/>
        <w:numId w:val="0"/>
      </w:numPr>
      <w:shd w:fill="FF0000" w:val="clear"/>
      <w:spacing w:before="28" w:after="28"/>
    </w:pPr>
    <w:rPr>
      <w:sz w:val="24"/>
      <w:szCs w:val="24"/>
    </w:rPr>
  </w:style>
  <w:style w:type="paragraph" w:styleId="Sref">
    <w:name w:val="s_ref"/>
    <w:basedOn w:val="Normal"/>
    <w:qFormat/>
    <w:pPr>
      <w:numPr>
        <w:ilvl w:val="0"/>
        <w:numId w:val="0"/>
      </w:numPr>
      <w:spacing w:before="28" w:after="28"/>
      <w:jc w:val="center"/>
    </w:pPr>
    <w:rPr>
      <w:sz w:val="24"/>
      <w:szCs w:val="24"/>
    </w:rPr>
  </w:style>
  <w:style w:type="paragraph" w:styleId="Nrm">
    <w:name w:val="nrm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D6F5D6" w:val="clear"/>
      <w:spacing w:before="28" w:after="28"/>
    </w:pPr>
    <w:rPr>
      <w:i/>
      <w:iCs/>
      <w:sz w:val="24"/>
      <w:szCs w:val="24"/>
    </w:rPr>
  </w:style>
  <w:style w:type="paragraph" w:styleId="Spar1">
    <w:name w:val="s_par1"/>
    <w:basedOn w:val="Normal"/>
    <w:qFormat/>
    <w:pPr>
      <w:numPr>
        <w:ilvl w:val="0"/>
        <w:numId w:val="0"/>
      </w:numPr>
    </w:pPr>
    <w:rPr>
      <w:sz w:val="15"/>
      <w:szCs w:val="15"/>
    </w:rPr>
  </w:style>
  <w:style w:type="paragraph" w:styleId="Spar2">
    <w:name w:val="s_par2"/>
    <w:basedOn w:val="Normal"/>
    <w:qFormat/>
    <w:pPr>
      <w:numPr>
        <w:ilvl w:val="0"/>
        <w:numId w:val="0"/>
      </w:numPr>
      <w:ind w:left="225" w:right="0" w:hanging="0"/>
    </w:pPr>
    <w:rPr>
      <w:sz w:val="11"/>
      <w:szCs w:val="11"/>
    </w:rPr>
  </w:style>
  <w:style w:type="paragraph" w:styleId="Spar3">
    <w:name w:val="s_par3"/>
    <w:basedOn w:val="Normal"/>
    <w:qFormat/>
    <w:pPr>
      <w:numPr>
        <w:ilvl w:val="0"/>
        <w:numId w:val="0"/>
      </w:numPr>
    </w:pPr>
    <w:rPr>
      <w:i/>
      <w:iCs/>
      <w:sz w:val="15"/>
      <w:szCs w:val="15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28" w:after="28"/>
    </w:pPr>
    <w:rPr>
      <w:sz w:val="24"/>
      <w:szCs w:val="24"/>
    </w:rPr>
  </w:style>
  <w:style w:type="paragraph" w:styleId="HeaderandFooter">
    <w:name w:val="Header and Footer"/>
    <w:basedOn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Spar5">
    <w:name w:val="s_par5"/>
    <w:basedOn w:val="Normal"/>
    <w:qFormat/>
    <w:pPr>
      <w:numPr>
        <w:ilvl w:val="0"/>
        <w:numId w:val="0"/>
      </w:numPr>
    </w:pPr>
    <w:rPr>
      <w:sz w:val="11"/>
      <w:szCs w:val="1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LibreOffice/4.4.4.3$Windows_x86 LibreOffice_project/2c39ebcf046445232b798108aa8a7e7d89552ea8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2021-02-16T14:44:00Z</dcterms:created>
  <dc:creator>Windows User</dc:creator>
  <dc:language>en-US</dc:language>
  <dcterms:modified xsi:type="dcterms:W3CDTF">2021-03-03T20:22:34Z</dcterms:modified>
  <cp:revision>9</cp:revision>
  <dc:title>ORDIN nr. 311 din 26 octombrie 2020</dc:title>
</cp:coreProperties>
</file>